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404A9" w14:textId="77777777" w:rsidR="00594D2A" w:rsidRDefault="00594D2A" w:rsidP="00594D2A">
      <w:pPr>
        <w:jc w:val="center"/>
      </w:pPr>
      <w:r>
        <w:t>Exam 2 study guide</w:t>
      </w:r>
    </w:p>
    <w:p w14:paraId="0433873D" w14:textId="77777777" w:rsidR="00594D2A" w:rsidRPr="00E90204" w:rsidRDefault="00594D2A" w:rsidP="00594D2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Chapter 5</w:t>
      </w:r>
    </w:p>
    <w:p w14:paraId="47D7D958" w14:textId="7EC2B0B0" w:rsidR="00594D2A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Describe the anatomical barrier components of the innate immunity.</w:t>
      </w:r>
    </w:p>
    <w:p w14:paraId="0E014042" w14:textId="32F93844" w:rsidR="00225371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Consists of skin and mucous membranes, which include the mucosal epithelia that line the respiratory, gastrointestinal, and urogenital tracts; synthesize and release peptides and proteins with antimicrobial activity (</w:t>
      </w:r>
    </w:p>
    <w:p w14:paraId="0C6F8401" w14:textId="735A2C19" w:rsidR="00225371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Skin: antimicrobial peptides, fatty acids in sebum</w:t>
      </w:r>
    </w:p>
    <w:p w14:paraId="231309B9" w14:textId="5B2D0542" w:rsidR="00225371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Epidermis and Dermis</w:t>
      </w:r>
    </w:p>
    <w:p w14:paraId="692FA6DE" w14:textId="4BE0FE79" w:rsidR="00225371" w:rsidRDefault="00225371" w:rsidP="00225371">
      <w:pPr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Epidermis: thin outer layer consisting of keratin</w:t>
      </w:r>
    </w:p>
    <w:p w14:paraId="5E5A8700" w14:textId="6F2641D1" w:rsidR="00225371" w:rsidRPr="00E90204" w:rsidRDefault="00225371" w:rsidP="00225371">
      <w:pPr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Dermis: composed of connective tissue and contains blood vessels, hair follicles, sebaceous glands, and sweat glands.</w:t>
      </w:r>
    </w:p>
    <w:p w14:paraId="3EB9E8EC" w14:textId="655AB8CF" w:rsidR="00594D2A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How does normal flora assist with resistance to infection?</w:t>
      </w:r>
    </w:p>
    <w:p w14:paraId="6470D59B" w14:textId="00FBC08B" w:rsidR="00225371" w:rsidRPr="00E90204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Compet</w:t>
      </w:r>
      <w:r w:rsidR="00CF6EB5">
        <w:rPr>
          <w:sz w:val="24"/>
          <w:szCs w:val="24"/>
        </w:rPr>
        <w:t xml:space="preserve">es with invading </w:t>
      </w:r>
      <w:proofErr w:type="spellStart"/>
      <w:r w:rsidR="00CF6EB5">
        <w:rPr>
          <w:sz w:val="24"/>
          <w:szCs w:val="24"/>
        </w:rPr>
        <w:t>mirobes</w:t>
      </w:r>
      <w:proofErr w:type="spellEnd"/>
      <w:r w:rsidR="00CF6EB5">
        <w:rPr>
          <w:sz w:val="24"/>
          <w:szCs w:val="24"/>
        </w:rPr>
        <w:t>, fluid/feces expelled from rectum</w:t>
      </w:r>
    </w:p>
    <w:p w14:paraId="7D298B69" w14:textId="67C3B79C" w:rsidR="00594D2A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What are some of the limitations of anatomical barriers?</w:t>
      </w:r>
    </w:p>
    <w:p w14:paraId="5A67B895" w14:textId="4A0CE249" w:rsidR="00225371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Breaks in the skin</w:t>
      </w:r>
    </w:p>
    <w:p w14:paraId="6B51FA3C" w14:textId="44DF1829" w:rsidR="00225371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Easily penetrated by biting insects</w:t>
      </w:r>
    </w:p>
    <w:p w14:paraId="3DAEC785" w14:textId="7A4E79F5" w:rsidR="00225371" w:rsidRPr="00E90204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Specialize adaptations</w:t>
      </w:r>
    </w:p>
    <w:p w14:paraId="3DD627A4" w14:textId="2FA9A6E3" w:rsidR="00594D2A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Describe cells and events/responses that link innate immunity to adaptive immunity.</w:t>
      </w:r>
    </w:p>
    <w:p w14:paraId="1A74281C" w14:textId="77777777" w:rsidR="00225371" w:rsidRPr="00E90204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</w:p>
    <w:p w14:paraId="5BBB9904" w14:textId="55164174" w:rsidR="00594D2A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What are pattern recognition receptors and what do they detect?</w:t>
      </w:r>
    </w:p>
    <w:p w14:paraId="51D9D861" w14:textId="77777777" w:rsidR="00CF6EB5" w:rsidRPr="00E90204" w:rsidRDefault="00CF6EB5" w:rsidP="00CF6EB5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</w:p>
    <w:p w14:paraId="46EA1182" w14:textId="77777777" w:rsidR="00594D2A" w:rsidRPr="00E90204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What are some events that occur during inflammation?</w:t>
      </w:r>
    </w:p>
    <w:p w14:paraId="1CAE8703" w14:textId="77777777" w:rsidR="00594D2A" w:rsidRPr="00E90204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Describe antimicrobial peptides and give examples.</w:t>
      </w:r>
    </w:p>
    <w:p w14:paraId="6E7E4F4F" w14:textId="77777777" w:rsidR="00594D2A" w:rsidRPr="00E90204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Give examples of receptors of the innate immune system and their targets.</w:t>
      </w:r>
    </w:p>
    <w:p w14:paraId="7EB58600" w14:textId="77777777" w:rsidR="00594D2A" w:rsidRPr="00E90204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What are toll-like receptors?</w:t>
      </w:r>
    </w:p>
    <w:p w14:paraId="14E2BB65" w14:textId="5BE5B9FE" w:rsidR="00594D2A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Examples of target ligands for the toll-like receptors.</w:t>
      </w:r>
    </w:p>
    <w:p w14:paraId="171D27A8" w14:textId="2C414AB1" w:rsidR="00CF6EB5" w:rsidRPr="00E90204" w:rsidRDefault="00CF6EB5" w:rsidP="00CF6EB5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CF6EB5">
        <w:rPr>
          <w:sz w:val="24"/>
          <w:szCs w:val="24"/>
        </w:rPr>
        <w:drawing>
          <wp:inline distT="0" distB="0" distL="0" distR="0" wp14:anchorId="5FDB2750" wp14:editId="5FE696A1">
            <wp:extent cx="3049422" cy="2476500"/>
            <wp:effectExtent l="0" t="0" r="0" b="0"/>
            <wp:docPr id="43013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44722AED-7E17-5048-8553-391D98BED2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3" name="Picture 4">
                      <a:extLst>
                        <a:ext uri="{FF2B5EF4-FFF2-40B4-BE49-F238E27FC236}">
                          <a16:creationId xmlns:a16="http://schemas.microsoft.com/office/drawing/2014/main" id="{44722AED-7E17-5048-8553-391D98BED28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34" cy="248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BBBE0" w14:textId="77777777" w:rsidR="00594D2A" w:rsidRPr="00E90204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 xml:space="preserve">Discuss the characteristics of </w:t>
      </w:r>
      <w:r>
        <w:rPr>
          <w:sz w:val="24"/>
          <w:szCs w:val="24"/>
        </w:rPr>
        <w:t>the cell types that mediate</w:t>
      </w:r>
      <w:r w:rsidRPr="00E90204">
        <w:rPr>
          <w:sz w:val="24"/>
          <w:szCs w:val="24"/>
        </w:rPr>
        <w:t xml:space="preserve"> innate immunity.</w:t>
      </w:r>
    </w:p>
    <w:p w14:paraId="63A36454" w14:textId="41300FF3" w:rsidR="00594D2A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Describe oxidative attack.</w:t>
      </w:r>
    </w:p>
    <w:p w14:paraId="6BE0C367" w14:textId="337BA965" w:rsidR="00225371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Employs reactive oxygen species (ROS) and reactive nitrogen species (RNS). </w:t>
      </w:r>
    </w:p>
    <w:p w14:paraId="2A1E4609" w14:textId="7CAAFA52" w:rsidR="00225371" w:rsidRPr="00E90204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Generated by the NADPH phagosome oxidase (</w:t>
      </w:r>
      <w:proofErr w:type="spellStart"/>
      <w:r>
        <w:rPr>
          <w:sz w:val="24"/>
          <w:szCs w:val="24"/>
        </w:rPr>
        <w:t>phox</w:t>
      </w:r>
      <w:proofErr w:type="spellEnd"/>
      <w:r>
        <w:rPr>
          <w:sz w:val="24"/>
          <w:szCs w:val="24"/>
        </w:rPr>
        <w:t>) enzyme complex</w:t>
      </w:r>
    </w:p>
    <w:p w14:paraId="0E4CD032" w14:textId="7533853F" w:rsidR="00594D2A" w:rsidRDefault="00594D2A" w:rsidP="00594D2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04">
        <w:rPr>
          <w:sz w:val="24"/>
          <w:szCs w:val="24"/>
        </w:rPr>
        <w:t>Describe nonoxidative attack.</w:t>
      </w:r>
    </w:p>
    <w:p w14:paraId="548BC23D" w14:textId="15DE3460" w:rsidR="00225371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Defenses are deployed when neutrophil granules fuse with phagosomes. </w:t>
      </w:r>
    </w:p>
    <w:p w14:paraId="088C0C30" w14:textId="07BEE3A6" w:rsidR="00225371" w:rsidRPr="00E90204" w:rsidRDefault="00225371" w:rsidP="00225371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Composed of Bactericidal/permeability-increasing protein, Proteases, Lysozyme, Defensins, and </w:t>
      </w:r>
      <w:proofErr w:type="spellStart"/>
      <w:r>
        <w:rPr>
          <w:sz w:val="24"/>
          <w:szCs w:val="24"/>
        </w:rPr>
        <w:t>cathelicidins</w:t>
      </w:r>
      <w:proofErr w:type="spellEnd"/>
    </w:p>
    <w:p w14:paraId="33DBD44C" w14:textId="77777777" w:rsidR="00594D2A" w:rsidRDefault="00594D2A" w:rsidP="00594D2A">
      <w:pPr>
        <w:spacing w:after="0" w:line="240" w:lineRule="auto"/>
        <w:rPr>
          <w:sz w:val="24"/>
          <w:szCs w:val="24"/>
        </w:rPr>
      </w:pPr>
    </w:p>
    <w:p w14:paraId="136C420D" w14:textId="77777777" w:rsidR="00594D2A" w:rsidRDefault="00594D2A" w:rsidP="00594D2A">
      <w:pPr>
        <w:spacing w:after="0"/>
      </w:pPr>
      <w:r>
        <w:t>Chapter 3</w:t>
      </w:r>
    </w:p>
    <w:p w14:paraId="3B2EA96A" w14:textId="77777777" w:rsidR="00594D2A" w:rsidRDefault="00594D2A" w:rsidP="00594D2A">
      <w:pPr>
        <w:spacing w:after="0"/>
      </w:pPr>
    </w:p>
    <w:p w14:paraId="0826264C" w14:textId="77777777" w:rsidR="00594D2A" w:rsidRDefault="00594D2A" w:rsidP="00594D2A">
      <w:pPr>
        <w:pStyle w:val="ListParagraph"/>
        <w:numPr>
          <w:ilvl w:val="0"/>
          <w:numId w:val="2"/>
        </w:numPr>
      </w:pPr>
      <w:r>
        <w:t xml:space="preserve">What is </w:t>
      </w:r>
      <w:proofErr w:type="spellStart"/>
      <w:r>
        <w:t>vectorial</w:t>
      </w:r>
      <w:proofErr w:type="spellEnd"/>
      <w:r>
        <w:t xml:space="preserve"> redistribution of the secretory apparatus?</w:t>
      </w:r>
    </w:p>
    <w:p w14:paraId="3A97DC78" w14:textId="0FC90A56" w:rsidR="00594D2A" w:rsidRDefault="00594D2A" w:rsidP="00594D2A">
      <w:pPr>
        <w:pStyle w:val="ListParagraph"/>
        <w:numPr>
          <w:ilvl w:val="0"/>
          <w:numId w:val="2"/>
        </w:numPr>
      </w:pPr>
      <w:r>
        <w:t>What are factors that can influence the cell becoming more or less susceptible to the actions of a ligand?</w:t>
      </w:r>
    </w:p>
    <w:p w14:paraId="2E9E3918" w14:textId="3DA6595E" w:rsidR="00715F16" w:rsidRDefault="00715F16" w:rsidP="00715F16">
      <w:pPr>
        <w:pStyle w:val="ListParagraph"/>
        <w:numPr>
          <w:ilvl w:val="1"/>
          <w:numId w:val="2"/>
        </w:numPr>
      </w:pPr>
      <w:r>
        <w:t>Increasing or decreasing the expression of the receptor for that ligand</w:t>
      </w:r>
    </w:p>
    <w:p w14:paraId="6EF1BD89" w14:textId="08261A6F" w:rsidR="00594D2A" w:rsidRDefault="00594D2A" w:rsidP="00594D2A">
      <w:pPr>
        <w:pStyle w:val="ListParagraph"/>
        <w:numPr>
          <w:ilvl w:val="0"/>
          <w:numId w:val="2"/>
        </w:numPr>
      </w:pPr>
      <w:r>
        <w:t>Compare and contrast affinity and avidity.</w:t>
      </w:r>
    </w:p>
    <w:p w14:paraId="38D0D0B8" w14:textId="662759C3" w:rsidR="00715F16" w:rsidRDefault="00715F16" w:rsidP="00715F16">
      <w:pPr>
        <w:pStyle w:val="ListParagraph"/>
        <w:numPr>
          <w:ilvl w:val="1"/>
          <w:numId w:val="2"/>
        </w:numPr>
      </w:pPr>
      <w:r>
        <w:t>Affinity: a strength of that individual pairing</w:t>
      </w:r>
    </w:p>
    <w:p w14:paraId="0EAB6A61" w14:textId="3370E4C0" w:rsidR="00715F16" w:rsidRDefault="00715F16" w:rsidP="00715F16">
      <w:pPr>
        <w:pStyle w:val="ListParagraph"/>
        <w:numPr>
          <w:ilvl w:val="1"/>
          <w:numId w:val="2"/>
        </w:numPr>
      </w:pPr>
      <w:r>
        <w:t>Avidity: str</w:t>
      </w:r>
      <w:r w:rsidR="0058368F">
        <w:t>ength of multiple interactions</w:t>
      </w:r>
    </w:p>
    <w:p w14:paraId="0D046A4D" w14:textId="1241BE93" w:rsidR="0058368F" w:rsidRDefault="0058368F" w:rsidP="00715F16">
      <w:pPr>
        <w:pStyle w:val="ListParagraph"/>
        <w:numPr>
          <w:ilvl w:val="1"/>
          <w:numId w:val="2"/>
        </w:numPr>
      </w:pPr>
      <w:r w:rsidRPr="0058368F">
        <w:t>an interaction may have weak affinity, but high overall avidity</w:t>
      </w:r>
    </w:p>
    <w:p w14:paraId="4B0117B8" w14:textId="31BF3A93" w:rsidR="00594D2A" w:rsidRDefault="00594D2A" w:rsidP="00594D2A">
      <w:pPr>
        <w:pStyle w:val="ListParagraph"/>
        <w:numPr>
          <w:ilvl w:val="0"/>
          <w:numId w:val="2"/>
        </w:numPr>
      </w:pPr>
      <w:r>
        <w:t>What are some of the changes in the receptor that occurs once the ligand binds to the receptor?</w:t>
      </w:r>
    </w:p>
    <w:p w14:paraId="1036E190" w14:textId="48A0C4FA" w:rsidR="00715F16" w:rsidRDefault="00715F16" w:rsidP="00715F16">
      <w:pPr>
        <w:pStyle w:val="ListParagraph"/>
        <w:numPr>
          <w:ilvl w:val="1"/>
          <w:numId w:val="2"/>
        </w:numPr>
      </w:pPr>
      <w:r>
        <w:t>Conformational: shape change</w:t>
      </w:r>
    </w:p>
    <w:p w14:paraId="2420CBB4" w14:textId="67511B3F" w:rsidR="00715F16" w:rsidRDefault="00715F16" w:rsidP="00715F16">
      <w:pPr>
        <w:pStyle w:val="ListParagraph"/>
        <w:numPr>
          <w:ilvl w:val="1"/>
          <w:numId w:val="2"/>
        </w:numPr>
      </w:pPr>
      <w:r>
        <w:t>Dimerization: formation of a dimer</w:t>
      </w:r>
    </w:p>
    <w:p w14:paraId="05B90D46" w14:textId="44A886B8" w:rsidR="00715F16" w:rsidRDefault="00715F16" w:rsidP="00715F16">
      <w:pPr>
        <w:pStyle w:val="ListParagraph"/>
        <w:numPr>
          <w:ilvl w:val="1"/>
          <w:numId w:val="2"/>
        </w:numPr>
      </w:pPr>
      <w:r>
        <w:t>Covalent modification: regulating the activity of a protein (usually an enzyme)</w:t>
      </w:r>
    </w:p>
    <w:p w14:paraId="03F7DDDE" w14:textId="10452CAB" w:rsidR="00594D2A" w:rsidRDefault="00594D2A" w:rsidP="00594D2A">
      <w:pPr>
        <w:pStyle w:val="ListParagraph"/>
        <w:numPr>
          <w:ilvl w:val="0"/>
          <w:numId w:val="2"/>
        </w:numPr>
      </w:pPr>
      <w:r>
        <w:t>Understand the importance of having multiple noncovalent bonds between receptor and ligand.</w:t>
      </w:r>
    </w:p>
    <w:p w14:paraId="48CF5E35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57072FF7" w14:textId="565DF909" w:rsidR="00594D2A" w:rsidRDefault="00594D2A" w:rsidP="00594D2A">
      <w:pPr>
        <w:pStyle w:val="ListParagraph"/>
        <w:numPr>
          <w:ilvl w:val="0"/>
          <w:numId w:val="2"/>
        </w:numPr>
      </w:pPr>
      <w:r>
        <w:t>What is meant by multivalent with respect to antigen and antibody?</w:t>
      </w:r>
    </w:p>
    <w:p w14:paraId="6E27A9AE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49C7F7EA" w14:textId="02A56922" w:rsidR="00594D2A" w:rsidRDefault="00594D2A" w:rsidP="00594D2A">
      <w:pPr>
        <w:pStyle w:val="ListParagraph"/>
        <w:numPr>
          <w:ilvl w:val="0"/>
          <w:numId w:val="2"/>
        </w:numPr>
      </w:pPr>
      <w:r>
        <w:t>The role of receptor dimerization, receptor multimerization and lipid rafts in signal initiation.</w:t>
      </w:r>
    </w:p>
    <w:p w14:paraId="1EBEE6A4" w14:textId="40FEC05A" w:rsidR="00715F16" w:rsidRDefault="00715F16" w:rsidP="00715F16">
      <w:pPr>
        <w:pStyle w:val="ListParagraph"/>
        <w:numPr>
          <w:ilvl w:val="1"/>
          <w:numId w:val="2"/>
        </w:numPr>
      </w:pPr>
      <w:r>
        <w:t xml:space="preserve">Receptor dimerization is often a result in </w:t>
      </w:r>
      <w:proofErr w:type="spellStart"/>
      <w:r>
        <w:t>multimerizarion</w:t>
      </w:r>
      <w:proofErr w:type="spellEnd"/>
    </w:p>
    <w:p w14:paraId="177E960A" w14:textId="1CA2D848" w:rsidR="00594D2A" w:rsidRDefault="00594D2A" w:rsidP="00594D2A">
      <w:pPr>
        <w:pStyle w:val="ListParagraph"/>
        <w:numPr>
          <w:ilvl w:val="0"/>
          <w:numId w:val="2"/>
        </w:numPr>
      </w:pPr>
      <w:r>
        <w:t>Significance and examples of co-receptors and accessory molecules for BCR and TCR.</w:t>
      </w:r>
    </w:p>
    <w:p w14:paraId="2E4FFD33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6E4EC2CA" w14:textId="4DB16C76" w:rsidR="00594D2A" w:rsidRDefault="00594D2A" w:rsidP="00594D2A">
      <w:pPr>
        <w:pStyle w:val="ListParagraph"/>
        <w:numPr>
          <w:ilvl w:val="0"/>
          <w:numId w:val="2"/>
        </w:numPr>
      </w:pPr>
      <w:r>
        <w:t>What is the need for the Igα/Igβ dimer in BCR signaling?</w:t>
      </w:r>
    </w:p>
    <w:p w14:paraId="2A9ACA07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5E93B252" w14:textId="0F453C3F" w:rsidR="00594D2A" w:rsidRDefault="00594D2A" w:rsidP="00594D2A">
      <w:pPr>
        <w:pStyle w:val="ListParagraph"/>
        <w:numPr>
          <w:ilvl w:val="0"/>
          <w:numId w:val="2"/>
        </w:numPr>
      </w:pPr>
      <w:r>
        <w:t xml:space="preserve">What is the difference between </w:t>
      </w:r>
      <w:proofErr w:type="spellStart"/>
      <w:r>
        <w:t>mIg</w:t>
      </w:r>
      <w:proofErr w:type="spellEnd"/>
      <w:r>
        <w:t xml:space="preserve"> and antibody?</w:t>
      </w:r>
    </w:p>
    <w:p w14:paraId="6E24FE39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632CE634" w14:textId="1C39B989" w:rsidR="00594D2A" w:rsidRDefault="00594D2A" w:rsidP="00594D2A">
      <w:pPr>
        <w:pStyle w:val="ListParagraph"/>
        <w:numPr>
          <w:ilvl w:val="0"/>
          <w:numId w:val="2"/>
        </w:numPr>
      </w:pPr>
      <w:r>
        <w:t>Describe the general structure of an antibody.</w:t>
      </w:r>
    </w:p>
    <w:p w14:paraId="6D8F74BD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4C8840BE" w14:textId="337E6ACD" w:rsidR="00594D2A" w:rsidRDefault="00594D2A" w:rsidP="00594D2A">
      <w:pPr>
        <w:pStyle w:val="ListParagraph"/>
        <w:numPr>
          <w:ilvl w:val="0"/>
          <w:numId w:val="2"/>
        </w:numPr>
      </w:pPr>
      <w:r>
        <w:t>What features do glycosylation of antibody provide?</w:t>
      </w:r>
    </w:p>
    <w:p w14:paraId="13D402EE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2228896C" w14:textId="478130BD" w:rsidR="00594D2A" w:rsidRDefault="00594D2A" w:rsidP="00594D2A">
      <w:pPr>
        <w:pStyle w:val="ListParagraph"/>
        <w:numPr>
          <w:ilvl w:val="0"/>
          <w:numId w:val="2"/>
        </w:numPr>
      </w:pPr>
      <w:r>
        <w:t xml:space="preserve">Compare and contrast BCR and TCR. </w:t>
      </w:r>
    </w:p>
    <w:p w14:paraId="4237990D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082CCA41" w14:textId="69F7721E" w:rsidR="00594D2A" w:rsidRDefault="00594D2A" w:rsidP="00594D2A">
      <w:pPr>
        <w:pStyle w:val="ListParagraph"/>
        <w:numPr>
          <w:ilvl w:val="0"/>
          <w:numId w:val="2"/>
        </w:numPr>
      </w:pPr>
      <w:r>
        <w:t>Role of the CD3 complex.</w:t>
      </w:r>
    </w:p>
    <w:p w14:paraId="54E1E667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3957E72C" w14:textId="7950E0C5" w:rsidR="00594D2A" w:rsidRDefault="00594D2A" w:rsidP="00594D2A">
      <w:pPr>
        <w:pStyle w:val="ListParagraph"/>
        <w:numPr>
          <w:ilvl w:val="0"/>
          <w:numId w:val="2"/>
        </w:numPr>
      </w:pPr>
      <w:r>
        <w:t>Components of the TCR-CD3 complex and their interactions with each other.</w:t>
      </w:r>
    </w:p>
    <w:p w14:paraId="2ECBE03A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7C4C485D" w14:textId="5E65D1E2" w:rsidR="00594D2A" w:rsidRDefault="00594D2A" w:rsidP="00594D2A">
      <w:pPr>
        <w:pStyle w:val="ListParagraph"/>
        <w:numPr>
          <w:ilvl w:val="0"/>
          <w:numId w:val="2"/>
        </w:numPr>
      </w:pPr>
      <w:r>
        <w:lastRenderedPageBreak/>
        <w:t>What is the predominant TCR found in the body?</w:t>
      </w:r>
    </w:p>
    <w:p w14:paraId="0331A984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15811FA2" w14:textId="2340DB56" w:rsidR="00594D2A" w:rsidRDefault="00594D2A" w:rsidP="00594D2A">
      <w:pPr>
        <w:pStyle w:val="ListParagraph"/>
        <w:numPr>
          <w:ilvl w:val="0"/>
          <w:numId w:val="2"/>
        </w:numPr>
      </w:pPr>
      <w:r>
        <w:t>CD4 and CD8 characteristics.</w:t>
      </w:r>
    </w:p>
    <w:p w14:paraId="0A2B366F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15A74978" w14:textId="36D3EFAE" w:rsidR="00594D2A" w:rsidRDefault="00594D2A" w:rsidP="00594D2A">
      <w:pPr>
        <w:pStyle w:val="ListParagraph"/>
        <w:numPr>
          <w:ilvl w:val="0"/>
          <w:numId w:val="2"/>
        </w:numPr>
      </w:pPr>
      <w:r>
        <w:t>Gamma delta T cells characteristics (There were approximately 8 slides discussing these cells)</w:t>
      </w:r>
    </w:p>
    <w:p w14:paraId="7B9EB841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4DBA3C3C" w14:textId="130F91D9" w:rsidR="00594D2A" w:rsidRDefault="00594D2A" w:rsidP="00594D2A">
      <w:pPr>
        <w:pStyle w:val="ListParagraph"/>
        <w:numPr>
          <w:ilvl w:val="0"/>
          <w:numId w:val="2"/>
        </w:numPr>
      </w:pPr>
      <w:r>
        <w:t>CD1 molecule characteristics</w:t>
      </w:r>
    </w:p>
    <w:p w14:paraId="575AEB9A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7CA5BA1C" w14:textId="560D4E82" w:rsidR="00594D2A" w:rsidRDefault="00594D2A" w:rsidP="00594D2A">
      <w:pPr>
        <w:pStyle w:val="ListParagraph"/>
        <w:numPr>
          <w:ilvl w:val="0"/>
          <w:numId w:val="2"/>
        </w:numPr>
      </w:pPr>
      <w:r>
        <w:t>Receptor – ligand affinity rankings.</w:t>
      </w:r>
    </w:p>
    <w:p w14:paraId="5789A9B7" w14:textId="77777777" w:rsidR="00715F16" w:rsidRDefault="00715F16" w:rsidP="00715F16">
      <w:pPr>
        <w:pStyle w:val="ListParagraph"/>
        <w:numPr>
          <w:ilvl w:val="1"/>
          <w:numId w:val="2"/>
        </w:numPr>
      </w:pPr>
    </w:p>
    <w:p w14:paraId="7CE1CF16" w14:textId="5740BF2D" w:rsidR="00594D2A" w:rsidRDefault="00594D2A" w:rsidP="00594D2A">
      <w:pPr>
        <w:pStyle w:val="ListParagraph"/>
        <w:numPr>
          <w:ilvl w:val="0"/>
          <w:numId w:val="2"/>
        </w:numPr>
      </w:pPr>
      <w:r>
        <w:t>T-cell interactions other than that of the TCR and MHC molecule.</w:t>
      </w:r>
    </w:p>
    <w:p w14:paraId="69F2F830" w14:textId="77777777" w:rsidR="00715F16" w:rsidRDefault="00715F16" w:rsidP="00715F16">
      <w:pPr>
        <w:pStyle w:val="ListParagraph"/>
        <w:numPr>
          <w:ilvl w:val="1"/>
          <w:numId w:val="2"/>
        </w:numPr>
      </w:pPr>
      <w:bookmarkStart w:id="0" w:name="_GoBack"/>
      <w:bookmarkEnd w:id="0"/>
    </w:p>
    <w:sectPr w:rsidR="00715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B5C18"/>
    <w:multiLevelType w:val="hybridMultilevel"/>
    <w:tmpl w:val="56EE40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F14E64"/>
    <w:multiLevelType w:val="hybridMultilevel"/>
    <w:tmpl w:val="46B4F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D2A"/>
    <w:rsid w:val="00225371"/>
    <w:rsid w:val="00406A6E"/>
    <w:rsid w:val="00463B33"/>
    <w:rsid w:val="004F4838"/>
    <w:rsid w:val="0058368F"/>
    <w:rsid w:val="00594D2A"/>
    <w:rsid w:val="00715F16"/>
    <w:rsid w:val="00762C43"/>
    <w:rsid w:val="00CF6EB5"/>
    <w:rsid w:val="00D36735"/>
    <w:rsid w:val="00EA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D826F"/>
  <w15:docId w15:val="{5101968C-E65D-48DF-AC4F-0BECA049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Southern University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Hollomon, Mario G</dc:creator>
  <cp:lastModifiedBy>Torye Smith</cp:lastModifiedBy>
  <cp:revision>2</cp:revision>
  <dcterms:created xsi:type="dcterms:W3CDTF">2019-10-06T21:44:00Z</dcterms:created>
  <dcterms:modified xsi:type="dcterms:W3CDTF">2019-10-06T21:44:00Z</dcterms:modified>
</cp:coreProperties>
</file>